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C5" w:rsidRPr="00405F2F" w:rsidRDefault="0084724F" w:rsidP="00614CC5">
      <w:pPr>
        <w:spacing w:line="360" w:lineRule="auto"/>
        <w:ind w:left="31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 Nº 494</w:t>
      </w:r>
      <w:r w:rsidR="0080391B">
        <w:rPr>
          <w:rFonts w:ascii="Arial" w:hAnsi="Arial" w:cs="Arial"/>
          <w:b/>
          <w:sz w:val="22"/>
          <w:szCs w:val="22"/>
        </w:rPr>
        <w:t>/2013</w:t>
      </w:r>
    </w:p>
    <w:p w:rsidR="00614CC5" w:rsidRPr="00405F2F" w:rsidRDefault="007B22C6" w:rsidP="00614CC5">
      <w:pPr>
        <w:tabs>
          <w:tab w:val="left" w:pos="7131"/>
        </w:tabs>
        <w:spacing w:line="360" w:lineRule="auto"/>
        <w:ind w:left="31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 19</w:t>
      </w:r>
      <w:r w:rsidR="00C84349">
        <w:rPr>
          <w:rFonts w:ascii="Arial" w:hAnsi="Arial" w:cs="Arial"/>
          <w:b/>
          <w:sz w:val="22"/>
          <w:szCs w:val="22"/>
        </w:rPr>
        <w:t xml:space="preserve"> de Março</w:t>
      </w:r>
      <w:r w:rsidR="0080391B">
        <w:rPr>
          <w:rFonts w:ascii="Arial" w:hAnsi="Arial" w:cs="Arial"/>
          <w:b/>
          <w:sz w:val="22"/>
          <w:szCs w:val="22"/>
        </w:rPr>
        <w:t xml:space="preserve"> de 2013</w:t>
      </w:r>
    </w:p>
    <w:p w:rsidR="00614CC5" w:rsidRDefault="00614CC5" w:rsidP="00614CC5">
      <w:pPr>
        <w:spacing w:line="360" w:lineRule="auto"/>
        <w:ind w:left="3119"/>
        <w:jc w:val="both"/>
        <w:rPr>
          <w:rFonts w:ascii="Arial" w:hAnsi="Arial" w:cs="Arial"/>
          <w:b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 xml:space="preserve">Autoriza o Poder </w:t>
      </w:r>
      <w:r w:rsidR="00650028">
        <w:rPr>
          <w:rFonts w:ascii="Arial" w:hAnsi="Arial" w:cs="Arial"/>
          <w:b/>
          <w:sz w:val="22"/>
          <w:szCs w:val="22"/>
        </w:rPr>
        <w:t>Executivo a repassar subvenção S</w:t>
      </w:r>
      <w:r w:rsidRPr="00405F2F">
        <w:rPr>
          <w:rFonts w:ascii="Arial" w:hAnsi="Arial" w:cs="Arial"/>
          <w:b/>
          <w:sz w:val="22"/>
          <w:szCs w:val="22"/>
        </w:rPr>
        <w:t>ocial a Associação Comercial e Indust</w:t>
      </w:r>
      <w:r w:rsidR="0080391B">
        <w:rPr>
          <w:rFonts w:ascii="Arial" w:hAnsi="Arial" w:cs="Arial"/>
          <w:b/>
          <w:sz w:val="22"/>
          <w:szCs w:val="22"/>
        </w:rPr>
        <w:t>rial de Santa Lúcia – ACISLU</w:t>
      </w:r>
      <w:r w:rsidRPr="00405F2F">
        <w:rPr>
          <w:rFonts w:ascii="Arial" w:hAnsi="Arial" w:cs="Arial"/>
          <w:b/>
          <w:sz w:val="22"/>
          <w:szCs w:val="22"/>
        </w:rPr>
        <w:t>, e dá outras providências.</w:t>
      </w:r>
    </w:p>
    <w:p w:rsidR="00D76C1C" w:rsidRPr="00405F2F" w:rsidRDefault="00D76C1C" w:rsidP="00614CC5">
      <w:pPr>
        <w:spacing w:line="360" w:lineRule="auto"/>
        <w:ind w:left="3119"/>
        <w:jc w:val="both"/>
        <w:rPr>
          <w:rFonts w:ascii="Arial" w:hAnsi="Arial" w:cs="Arial"/>
          <w:b/>
          <w:sz w:val="22"/>
          <w:szCs w:val="22"/>
        </w:rPr>
      </w:pPr>
    </w:p>
    <w:p w:rsidR="00D76C1C" w:rsidRPr="00AF0049" w:rsidRDefault="00D76C1C" w:rsidP="00D76C1C">
      <w:pPr>
        <w:pStyle w:val="Corpodetexto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0049">
        <w:rPr>
          <w:rFonts w:ascii="Arial" w:hAnsi="Arial" w:cs="Arial"/>
          <w:sz w:val="22"/>
          <w:szCs w:val="22"/>
        </w:rPr>
        <w:t>O Prefeito Municipal de</w:t>
      </w:r>
      <w:r>
        <w:rPr>
          <w:rFonts w:ascii="Arial" w:hAnsi="Arial" w:cs="Arial"/>
          <w:sz w:val="22"/>
          <w:szCs w:val="22"/>
        </w:rPr>
        <w:t xml:space="preserve"> Santa Lúcia, Estado do Paraná </w:t>
      </w:r>
      <w:r w:rsidRPr="00D76C1C">
        <w:rPr>
          <w:rFonts w:ascii="Arial" w:hAnsi="Arial" w:cs="Arial"/>
          <w:b/>
          <w:sz w:val="22"/>
          <w:szCs w:val="22"/>
        </w:rPr>
        <w:t>ADALGIZO CÂNDIDO DE SOUZA</w:t>
      </w:r>
      <w:r>
        <w:rPr>
          <w:rFonts w:ascii="Arial" w:hAnsi="Arial" w:cs="Arial"/>
          <w:sz w:val="22"/>
          <w:szCs w:val="22"/>
        </w:rPr>
        <w:t xml:space="preserve">, </w:t>
      </w:r>
      <w:r w:rsidRPr="00AF0049">
        <w:rPr>
          <w:rFonts w:ascii="Arial" w:hAnsi="Arial" w:cs="Arial"/>
          <w:sz w:val="22"/>
          <w:szCs w:val="22"/>
        </w:rPr>
        <w:t xml:space="preserve">faz saber </w:t>
      </w:r>
      <w:r w:rsidR="007B22C6">
        <w:rPr>
          <w:rFonts w:ascii="Arial" w:hAnsi="Arial" w:cs="Arial"/>
          <w:sz w:val="22"/>
          <w:szCs w:val="22"/>
        </w:rPr>
        <w:t>que, a Câmara Municipal aprovou</w:t>
      </w:r>
      <w:r w:rsidRPr="00AF0049">
        <w:rPr>
          <w:rFonts w:ascii="Arial" w:hAnsi="Arial" w:cs="Arial"/>
          <w:sz w:val="22"/>
          <w:szCs w:val="22"/>
        </w:rPr>
        <w:t xml:space="preserve"> e ele sanciona a seguinte, </w:t>
      </w:r>
    </w:p>
    <w:p w:rsidR="00614CC5" w:rsidRPr="00D76C1C" w:rsidRDefault="00614CC5" w:rsidP="00614CC5">
      <w:pPr>
        <w:jc w:val="center"/>
        <w:rPr>
          <w:rFonts w:ascii="Arial" w:hAnsi="Arial" w:cs="Arial"/>
          <w:b/>
          <w:sz w:val="36"/>
          <w:szCs w:val="36"/>
        </w:rPr>
      </w:pPr>
      <w:r w:rsidRPr="00D76C1C">
        <w:rPr>
          <w:rFonts w:ascii="Arial" w:hAnsi="Arial" w:cs="Arial"/>
          <w:b/>
          <w:sz w:val="36"/>
          <w:szCs w:val="36"/>
        </w:rPr>
        <w:t>LEI</w:t>
      </w:r>
    </w:p>
    <w:p w:rsidR="00D76C1C" w:rsidRPr="00405F2F" w:rsidRDefault="00D76C1C" w:rsidP="00614CC5">
      <w:pPr>
        <w:jc w:val="center"/>
        <w:rPr>
          <w:rFonts w:ascii="Arial" w:hAnsi="Arial" w:cs="Arial"/>
          <w:b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1º</w:t>
      </w:r>
      <w:r w:rsidRPr="00405F2F">
        <w:rPr>
          <w:rFonts w:ascii="Arial" w:hAnsi="Arial" w:cs="Arial"/>
          <w:sz w:val="22"/>
          <w:szCs w:val="22"/>
        </w:rPr>
        <w:t xml:space="preserve"> - Fica o Poder Executivo Municipal autorizado a repassar subvenção social no valor total de R$</w:t>
      </w:r>
      <w:r w:rsidRPr="00405F2F">
        <w:rPr>
          <w:rFonts w:ascii="Arial" w:hAnsi="Arial" w:cs="Arial"/>
          <w:color w:val="FF0000"/>
          <w:sz w:val="22"/>
          <w:szCs w:val="22"/>
        </w:rPr>
        <w:t xml:space="preserve"> </w:t>
      </w:r>
      <w:r w:rsidR="00C10145">
        <w:rPr>
          <w:rFonts w:ascii="Arial" w:hAnsi="Arial" w:cs="Arial"/>
          <w:sz w:val="22"/>
          <w:szCs w:val="22"/>
        </w:rPr>
        <w:t>18.000,00 (Dezoito mil  reais) divididos em 09 parcelas mensais de R$ 2.000,00 (Dois mil reais</w:t>
      </w:r>
      <w:r w:rsidRPr="00405F2F">
        <w:rPr>
          <w:rFonts w:ascii="Arial" w:hAnsi="Arial" w:cs="Arial"/>
          <w:sz w:val="22"/>
          <w:szCs w:val="22"/>
        </w:rPr>
        <w:t>) à Associação Comercial e Indust</w:t>
      </w:r>
      <w:r w:rsidR="00C10145">
        <w:rPr>
          <w:rFonts w:ascii="Arial" w:hAnsi="Arial" w:cs="Arial"/>
          <w:sz w:val="22"/>
          <w:szCs w:val="22"/>
        </w:rPr>
        <w:t>rial de Santa Lúcia</w:t>
      </w:r>
      <w:r w:rsidRPr="00405F2F">
        <w:rPr>
          <w:rFonts w:ascii="Arial" w:hAnsi="Arial" w:cs="Arial"/>
          <w:sz w:val="22"/>
          <w:szCs w:val="22"/>
        </w:rPr>
        <w:t>, cujos recursos serão utilizados de conformidade com o Plano de Aplicação.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2º</w:t>
      </w:r>
      <w:r w:rsidRPr="00405F2F">
        <w:rPr>
          <w:rFonts w:ascii="Arial" w:hAnsi="Arial" w:cs="Arial"/>
          <w:sz w:val="22"/>
          <w:szCs w:val="22"/>
        </w:rPr>
        <w:t xml:space="preserve"> - O ato de transferência s</w:t>
      </w:r>
      <w:r w:rsidR="00795C02">
        <w:rPr>
          <w:rFonts w:ascii="Arial" w:hAnsi="Arial" w:cs="Arial"/>
          <w:sz w:val="22"/>
          <w:szCs w:val="22"/>
        </w:rPr>
        <w:t>erá por convênio, que deve estar</w:t>
      </w:r>
      <w:r w:rsidRPr="00405F2F">
        <w:rPr>
          <w:rFonts w:ascii="Arial" w:hAnsi="Arial" w:cs="Arial"/>
          <w:sz w:val="22"/>
          <w:szCs w:val="22"/>
        </w:rPr>
        <w:t xml:space="preserve"> em estrita conformidade com o disposto no art. 116 da Lei nº 8.666/1993, bem como as regras previstas na resolução 28/2011, Egrégio Tribunal de Contas do Estado do Paraná, </w:t>
      </w:r>
      <w:proofErr w:type="gramStart"/>
      <w:r w:rsidRPr="00405F2F">
        <w:rPr>
          <w:rFonts w:ascii="Arial" w:hAnsi="Arial" w:cs="Arial"/>
          <w:sz w:val="22"/>
          <w:szCs w:val="22"/>
        </w:rPr>
        <w:t>sob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05F2F">
        <w:rPr>
          <w:rFonts w:ascii="Arial" w:hAnsi="Arial" w:cs="Arial"/>
          <w:sz w:val="22"/>
          <w:szCs w:val="22"/>
        </w:rPr>
        <w:t>pena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de nulidade.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3º. </w:t>
      </w:r>
      <w:r w:rsidRPr="00405F2F">
        <w:rPr>
          <w:rFonts w:ascii="Arial" w:hAnsi="Arial" w:cs="Arial"/>
          <w:sz w:val="22"/>
          <w:szCs w:val="22"/>
        </w:rPr>
        <w:t>Atendidas as exigências previstas no artigo anterior, o preâmbulo do convênio conterá, no mínimo, as seguintes informações: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 xml:space="preserve">I – numeração </w:t>
      </w:r>
      <w:r w:rsidR="00650028" w:rsidRPr="00405F2F">
        <w:rPr>
          <w:rFonts w:ascii="Arial" w:hAnsi="Arial" w:cs="Arial"/>
          <w:sz w:val="22"/>
          <w:szCs w:val="22"/>
        </w:rPr>
        <w:t>sequencial</w:t>
      </w:r>
      <w:r w:rsidRPr="00405F2F">
        <w:rPr>
          <w:rFonts w:ascii="Arial" w:hAnsi="Arial" w:cs="Arial"/>
          <w:sz w:val="22"/>
          <w:szCs w:val="22"/>
        </w:rPr>
        <w:t xml:space="preserve"> em série anual do convênio, com a indicação da sigla da entidade concedente dos recursos;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 – nome, CNPJ e endereço das entidades que estejam firmando o instrumento, bem como a respectiva natureza jurídica;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III – nome, endereço, número e órgão expedidor da carteira de identidade e o CPF dos respectivos titulares das entidades partícipes do convênio, ou daqueles que estiverem atuando por delegação de competência;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 xml:space="preserve">IV – a sujeição </w:t>
      </w:r>
      <w:proofErr w:type="gramStart"/>
      <w:r w:rsidRPr="00405F2F">
        <w:rPr>
          <w:rFonts w:ascii="Arial" w:hAnsi="Arial" w:cs="Arial"/>
          <w:sz w:val="22"/>
          <w:szCs w:val="22"/>
        </w:rPr>
        <w:t>as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regras do convênio e sua execução às normas pertinentes da Constituição Federal, da Constituição Estadual, da Lei Complementar nº 101, de 04 de maio de 2000, bem como da Lei Federal nº 8.666/1993, da Lei Complementar Estadual nº 113/2005, desta Resolução e demais atos normativos do Poder Público.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lastRenderedPageBreak/>
        <w:t xml:space="preserve">Parágrafo único. </w:t>
      </w:r>
      <w:r w:rsidRPr="00405F2F">
        <w:rPr>
          <w:rFonts w:ascii="Arial" w:hAnsi="Arial" w:cs="Arial"/>
          <w:sz w:val="22"/>
          <w:szCs w:val="22"/>
        </w:rPr>
        <w:t>Além das informações acima citadas, o convênio voluntário deverá conter, ainda, o seguinte: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 – o objeto e seus elementos característicos, com a descrição detalhada, objetiva, clara e precisa do que se pretende realizar ou obter, em consonância com o Plano de Trabalho, que integrará o convênio, independentemente de transcrição e compatibilidade com o plano plurianual e com a lei de diretrizes orçamentárias;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 – a vigência, que deverá ser fixada de acordo com o prazo previsto para a consecução do objeto e em função das metas estabelecidas;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 – a forma de liberação de recursos, obedecendo ao cronograma de desembolso constante do Plano de Trabalho;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III – a obrigatoriedade da entidade tomadora dos recursos de apresentar relatórios de execução e prestar contas dos recursos recebidos, no prazo e forma estabelecidos nesta Lei.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IV – hipóteses de rescisão;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V – a obrigatoriedade de restituição de eventual saldo de recursos, inclusive os rendimentos da aplicação financeira, à entidade concedente dos recursos, ou ao Tesouro Municipal, conforme o caso, na data de sua conclusão ou extinção;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VI – a garantia do livre acesso de servidores do Sistema de Controle Interno ao qual esteja subordinada a entidade concedente, além dos servidores do Tribunal de Contas, a qualquer tempo e lugar, a todos os atos e fatos relacionados direta ou indiretamente com o instrumento pactuado, quando em missão de fiscalização ou auditoria;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VII - a indicação do foro para dirimir dúvidas decorrentes de sua execução.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4º. </w:t>
      </w:r>
      <w:r w:rsidRPr="00405F2F">
        <w:rPr>
          <w:rFonts w:ascii="Arial" w:hAnsi="Arial" w:cs="Arial"/>
          <w:sz w:val="22"/>
          <w:szCs w:val="22"/>
        </w:rPr>
        <w:t>A situação de regularidade da entidade tomadora dos recursos, para os efeitos desta Lei, será comprovada mediante a apresentação, no mínimo, dos seguintes documentos: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 – certidão liberatória, expedida pelo Tribunal de Contas;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 xml:space="preserve">II – certidão liberatória ou documento equivalente, expedido pelo órgão municipal competente, que se acha em dia quanto às prestações de contas do convênio, nos termos do art. 25, § 1º, inciso IV, alínea </w:t>
      </w:r>
      <w:r w:rsidRPr="00405F2F">
        <w:rPr>
          <w:rFonts w:ascii="Arial" w:hAnsi="Arial" w:cs="Arial"/>
          <w:iCs/>
          <w:sz w:val="22"/>
          <w:szCs w:val="22"/>
        </w:rPr>
        <w:t xml:space="preserve">a, </w:t>
      </w:r>
      <w:r w:rsidRPr="00405F2F">
        <w:rPr>
          <w:rFonts w:ascii="Arial" w:hAnsi="Arial" w:cs="Arial"/>
          <w:sz w:val="22"/>
          <w:szCs w:val="22"/>
        </w:rPr>
        <w:t>da Lei Complementar Federal nº 101/2000;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 xml:space="preserve">III – certidão negativa quanto ao pagamento de tributos, empréstimos e financiamentos junto </w:t>
      </w:r>
      <w:proofErr w:type="gramStart"/>
      <w:r w:rsidRPr="00405F2F">
        <w:rPr>
          <w:rFonts w:ascii="Arial" w:hAnsi="Arial" w:cs="Arial"/>
          <w:sz w:val="22"/>
          <w:szCs w:val="22"/>
        </w:rPr>
        <w:t>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entidade concedente dos recursos, nos termos do art. 25, § 1º, inciso IV, alínea </w:t>
      </w:r>
      <w:r w:rsidRPr="00405F2F">
        <w:rPr>
          <w:rFonts w:ascii="Arial" w:hAnsi="Arial" w:cs="Arial"/>
          <w:iCs/>
          <w:sz w:val="22"/>
          <w:szCs w:val="22"/>
        </w:rPr>
        <w:t xml:space="preserve">a, </w:t>
      </w:r>
      <w:r w:rsidRPr="00405F2F">
        <w:rPr>
          <w:rFonts w:ascii="Arial" w:hAnsi="Arial" w:cs="Arial"/>
          <w:sz w:val="22"/>
          <w:szCs w:val="22"/>
        </w:rPr>
        <w:t>da Lei Complementar Federal nº 101/2000.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lastRenderedPageBreak/>
        <w:t>§ 1º. Será exigida a comprovação da situação de regularidade de que trata este artigo por ocasião da liberação de cada parcela do convênio.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5º. </w:t>
      </w:r>
      <w:r w:rsidRPr="00405F2F">
        <w:rPr>
          <w:rFonts w:ascii="Arial" w:hAnsi="Arial" w:cs="Arial"/>
          <w:sz w:val="22"/>
          <w:szCs w:val="22"/>
        </w:rPr>
        <w:t>O convênio poderá ser alterado mediante proposta das partes, devidamente justificada, a ser apresentada em prazo mínimo, antes do término de sua vigência, que vier a ser fixado pelo ordenador de despesa da entidade concedente dos recursos, levando-se em conta o tempo necessário para análise e decisão.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Parágrafo único. </w:t>
      </w:r>
      <w:r w:rsidRPr="00405F2F">
        <w:rPr>
          <w:rFonts w:ascii="Arial" w:hAnsi="Arial" w:cs="Arial"/>
          <w:sz w:val="22"/>
          <w:szCs w:val="22"/>
        </w:rPr>
        <w:t xml:space="preserve">Eventual convalidação das despesas em desacordo com o </w:t>
      </w:r>
      <w:r w:rsidRPr="00405F2F">
        <w:rPr>
          <w:rFonts w:ascii="Arial" w:hAnsi="Arial" w:cs="Arial"/>
          <w:iCs/>
          <w:sz w:val="22"/>
          <w:szCs w:val="22"/>
        </w:rPr>
        <w:t xml:space="preserve">caput </w:t>
      </w:r>
      <w:r w:rsidRPr="00405F2F">
        <w:rPr>
          <w:rFonts w:ascii="Arial" w:hAnsi="Arial" w:cs="Arial"/>
          <w:sz w:val="22"/>
          <w:szCs w:val="22"/>
        </w:rPr>
        <w:t>deste artigo não implicará na aceitação da regularidade da execução do ato da transferência voluntária e nem afastará as responsabilidades pessoais do gestor responsável das contas.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6º. </w:t>
      </w:r>
      <w:r w:rsidRPr="00405F2F">
        <w:rPr>
          <w:rFonts w:ascii="Arial" w:hAnsi="Arial" w:cs="Arial"/>
          <w:sz w:val="22"/>
          <w:szCs w:val="22"/>
        </w:rPr>
        <w:t>A eficácia do convênio, e respectivos aditivos, fica condicionada à publicação do respectivo extrato no Diário Oficial do Munic</w:t>
      </w:r>
      <w:r w:rsidR="00795C02">
        <w:rPr>
          <w:rFonts w:ascii="Arial" w:hAnsi="Arial" w:cs="Arial"/>
          <w:sz w:val="22"/>
          <w:szCs w:val="22"/>
        </w:rPr>
        <w:t>ípio de Santa Lúcia</w:t>
      </w:r>
      <w:r w:rsidRPr="00405F2F">
        <w:rPr>
          <w:rFonts w:ascii="Arial" w:hAnsi="Arial" w:cs="Arial"/>
          <w:sz w:val="22"/>
          <w:szCs w:val="22"/>
        </w:rPr>
        <w:t>, a até o 5º (quinto) dia útil do mês seguinte ao de sua assinatura.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7º </w:t>
      </w:r>
      <w:r w:rsidRPr="00405F2F">
        <w:rPr>
          <w:rFonts w:ascii="Arial" w:hAnsi="Arial" w:cs="Arial"/>
          <w:sz w:val="22"/>
          <w:szCs w:val="22"/>
        </w:rPr>
        <w:t xml:space="preserve">O objeto do convênio deverá ser executado fielmente pelas partes, de acordo com as cláusulas pactuadas no instrumento e na legislação pertinente, respondendo cada uma pelas </w:t>
      </w:r>
      <w:r w:rsidR="00795C02" w:rsidRPr="00405F2F">
        <w:rPr>
          <w:rFonts w:ascii="Arial" w:hAnsi="Arial" w:cs="Arial"/>
          <w:sz w:val="22"/>
          <w:szCs w:val="22"/>
        </w:rPr>
        <w:t>consequências</w:t>
      </w:r>
      <w:r w:rsidRPr="00405F2F">
        <w:rPr>
          <w:rFonts w:ascii="Arial" w:hAnsi="Arial" w:cs="Arial"/>
          <w:sz w:val="22"/>
          <w:szCs w:val="22"/>
        </w:rPr>
        <w:t xml:space="preserve"> de sua inexecução total ou parcial.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8º </w:t>
      </w:r>
      <w:r w:rsidRPr="00405F2F">
        <w:rPr>
          <w:rFonts w:ascii="Arial" w:hAnsi="Arial" w:cs="Arial"/>
          <w:bCs/>
          <w:sz w:val="22"/>
          <w:szCs w:val="22"/>
        </w:rPr>
        <w:t xml:space="preserve">Para as aquisições de bens e serviços, </w:t>
      </w:r>
      <w:r w:rsidRPr="00405F2F">
        <w:rPr>
          <w:rFonts w:ascii="Arial" w:hAnsi="Arial" w:cs="Arial"/>
          <w:sz w:val="22"/>
          <w:szCs w:val="22"/>
        </w:rPr>
        <w:t xml:space="preserve">fica o responsável pela aplicação dos recursos repassados obrigado ao atendimento dos princípios de economicidade e eficiência, justificando, expressamente, a opção utilizada, </w:t>
      </w:r>
      <w:proofErr w:type="gramStart"/>
      <w:r w:rsidRPr="00405F2F">
        <w:rPr>
          <w:rFonts w:ascii="Arial" w:hAnsi="Arial" w:cs="Arial"/>
          <w:sz w:val="22"/>
          <w:szCs w:val="22"/>
        </w:rPr>
        <w:t>sob pena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de responsabilidade pelos atos de gestão antieconômica.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Parágrafo único. </w:t>
      </w:r>
      <w:r w:rsidRPr="00405F2F">
        <w:rPr>
          <w:rFonts w:ascii="Arial" w:hAnsi="Arial" w:cs="Arial"/>
          <w:sz w:val="22"/>
          <w:szCs w:val="22"/>
        </w:rPr>
        <w:t xml:space="preserve">O atendimento dos princípios de economicidade e eficiência deverá ser comprovado, mediante pesquisa de preços junto </w:t>
      </w:r>
      <w:proofErr w:type="gramStart"/>
      <w:r w:rsidRPr="00405F2F">
        <w:rPr>
          <w:rFonts w:ascii="Arial" w:hAnsi="Arial" w:cs="Arial"/>
          <w:sz w:val="22"/>
          <w:szCs w:val="22"/>
        </w:rPr>
        <w:t>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no mínimo 03 (três) fornecedores do ramo pertinente.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9º. </w:t>
      </w:r>
      <w:r w:rsidRPr="00405F2F">
        <w:rPr>
          <w:rFonts w:ascii="Arial" w:hAnsi="Arial" w:cs="Arial"/>
          <w:bCs/>
          <w:sz w:val="22"/>
          <w:szCs w:val="22"/>
        </w:rPr>
        <w:t>Caso</w:t>
      </w:r>
      <w:r w:rsidRPr="00405F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5F2F">
        <w:rPr>
          <w:rFonts w:ascii="Arial" w:hAnsi="Arial" w:cs="Arial"/>
          <w:sz w:val="22"/>
          <w:szCs w:val="22"/>
        </w:rPr>
        <w:t>o plano de trabalho contemple a aquisição de equipamentos e materiais permanentes, será obrigatória a estipulação do destino a ser dado aos bens remanescentes na data da extinção do acordo ou ajuste.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Parágrafo único. </w:t>
      </w:r>
      <w:proofErr w:type="gramStart"/>
      <w:r w:rsidRPr="00405F2F">
        <w:rPr>
          <w:rFonts w:ascii="Arial" w:hAnsi="Arial" w:cs="Arial"/>
          <w:sz w:val="22"/>
          <w:szCs w:val="22"/>
        </w:rPr>
        <w:t xml:space="preserve">Os bens materiais e equipamentos adquiridos com recursos do convênio poderão, a critério da entidade concedente dos recursos ou do dirigente máximo da entidade da Administração Pública Direta ou Indireta dos Municípios, ser </w:t>
      </w:r>
      <w:r w:rsidRPr="00405F2F">
        <w:rPr>
          <w:rFonts w:ascii="Arial" w:hAnsi="Arial" w:cs="Arial"/>
          <w:sz w:val="22"/>
          <w:szCs w:val="22"/>
        </w:rPr>
        <w:lastRenderedPageBreak/>
        <w:t>doados às entidades beneficiárias quando, após a consecução do objeto, forem necessários para assegurar a continuidade de programa governamental, observado o que, a respeito, tenha sido previsto no convênio.</w:t>
      </w:r>
      <w:proofErr w:type="gramEnd"/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10. </w:t>
      </w:r>
      <w:r w:rsidRPr="00405F2F">
        <w:rPr>
          <w:rFonts w:ascii="Arial" w:hAnsi="Arial" w:cs="Arial"/>
          <w:sz w:val="22"/>
          <w:szCs w:val="22"/>
        </w:rPr>
        <w:t xml:space="preserve">As prestações de contas do convênio deverão ser formalizadas de acordo com as normas da Resolução 28/2011 do Tribunal de Contas do Estado do Paraná, até 30 (trinta) dias após o recebimento, </w:t>
      </w:r>
      <w:proofErr w:type="gramStart"/>
      <w:r w:rsidRPr="00405F2F">
        <w:rPr>
          <w:rFonts w:ascii="Arial" w:hAnsi="Arial" w:cs="Arial"/>
          <w:sz w:val="22"/>
          <w:szCs w:val="22"/>
        </w:rPr>
        <w:t>sob pena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de devolução de recursos.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11</w:t>
      </w:r>
      <w:r w:rsidRPr="00405F2F">
        <w:rPr>
          <w:rFonts w:ascii="Arial" w:hAnsi="Arial" w:cs="Arial"/>
          <w:sz w:val="22"/>
          <w:szCs w:val="22"/>
        </w:rPr>
        <w:t xml:space="preserve"> - As despesas decorrentes desta Lei correrão por conta de recursos orçamentários próprios do Munic</w:t>
      </w:r>
      <w:r w:rsidR="00F863B2">
        <w:rPr>
          <w:rFonts w:ascii="Arial" w:hAnsi="Arial" w:cs="Arial"/>
          <w:sz w:val="22"/>
          <w:szCs w:val="22"/>
        </w:rPr>
        <w:t xml:space="preserve">ípio de Santa Lúcia </w:t>
      </w:r>
      <w:proofErr w:type="spellStart"/>
      <w:proofErr w:type="gramStart"/>
      <w:r w:rsidR="00F863B2">
        <w:rPr>
          <w:rFonts w:ascii="Arial" w:hAnsi="Arial" w:cs="Arial"/>
          <w:sz w:val="22"/>
          <w:szCs w:val="22"/>
        </w:rPr>
        <w:t>Pr</w:t>
      </w:r>
      <w:proofErr w:type="spellEnd"/>
      <w:proofErr w:type="gramEnd"/>
      <w:r w:rsidRPr="00405F2F">
        <w:rPr>
          <w:rFonts w:ascii="Arial" w:hAnsi="Arial" w:cs="Arial"/>
          <w:sz w:val="22"/>
          <w:szCs w:val="22"/>
        </w:rPr>
        <w:t xml:space="preserve">, </w:t>
      </w:r>
      <w:r w:rsidRPr="00405F2F">
        <w:rPr>
          <w:rFonts w:ascii="Arial" w:hAnsi="Arial" w:cs="Arial"/>
          <w:color w:val="000000"/>
          <w:sz w:val="22"/>
          <w:szCs w:val="22"/>
        </w:rPr>
        <w:t>podendo ser suplementados, se necessário</w:t>
      </w:r>
      <w:r w:rsidRPr="00405F2F">
        <w:rPr>
          <w:rFonts w:ascii="Arial" w:hAnsi="Arial" w:cs="Arial"/>
          <w:sz w:val="22"/>
          <w:szCs w:val="22"/>
        </w:rPr>
        <w:t>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13</w:t>
      </w:r>
      <w:r w:rsidRPr="00405F2F">
        <w:rPr>
          <w:rFonts w:ascii="Arial" w:hAnsi="Arial" w:cs="Arial"/>
          <w:sz w:val="22"/>
          <w:szCs w:val="22"/>
        </w:rPr>
        <w:t xml:space="preserve"> </w:t>
      </w:r>
      <w:r w:rsidR="00F863B2">
        <w:rPr>
          <w:rFonts w:ascii="Arial" w:hAnsi="Arial" w:cs="Arial"/>
          <w:sz w:val="22"/>
          <w:szCs w:val="22"/>
        </w:rPr>
        <w:t>– O prazo do convênio será de 09 meses, com inicio em 01 de abril de 2013</w:t>
      </w:r>
      <w:r w:rsidRPr="00405F2F">
        <w:rPr>
          <w:rFonts w:ascii="Arial" w:hAnsi="Arial" w:cs="Arial"/>
          <w:sz w:val="22"/>
          <w:szCs w:val="22"/>
        </w:rPr>
        <w:t xml:space="preserve"> e t</w:t>
      </w:r>
      <w:r w:rsidR="00C84349">
        <w:rPr>
          <w:rFonts w:ascii="Arial" w:hAnsi="Arial" w:cs="Arial"/>
          <w:sz w:val="22"/>
          <w:szCs w:val="22"/>
        </w:rPr>
        <w:t>érmino em 31 de dezembro de 2013</w:t>
      </w:r>
      <w:r w:rsidRPr="00405F2F">
        <w:rPr>
          <w:rFonts w:ascii="Arial" w:hAnsi="Arial" w:cs="Arial"/>
          <w:sz w:val="22"/>
          <w:szCs w:val="22"/>
        </w:rPr>
        <w:t>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14</w:t>
      </w:r>
      <w:r w:rsidRPr="00405F2F">
        <w:rPr>
          <w:rFonts w:ascii="Arial" w:hAnsi="Arial" w:cs="Arial"/>
          <w:sz w:val="22"/>
          <w:szCs w:val="22"/>
        </w:rPr>
        <w:t xml:space="preserve"> - Esta Lei entrará em vigor na data de sua publicação.</w:t>
      </w:r>
    </w:p>
    <w:p w:rsidR="00614CC5" w:rsidRPr="00405F2F" w:rsidRDefault="00614CC5" w:rsidP="00614CC5">
      <w:pPr>
        <w:jc w:val="center"/>
        <w:rPr>
          <w:rFonts w:ascii="Arial" w:hAnsi="Arial" w:cs="Arial"/>
          <w:sz w:val="22"/>
          <w:szCs w:val="22"/>
        </w:rPr>
      </w:pPr>
    </w:p>
    <w:p w:rsidR="00614CC5" w:rsidRPr="00405F2F" w:rsidRDefault="007B22C6" w:rsidP="00F863B2">
      <w:pPr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Santa Lúcia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19</w:t>
      </w:r>
      <w:r w:rsidR="00F863B2">
        <w:rPr>
          <w:rFonts w:ascii="Arial" w:hAnsi="Arial" w:cs="Arial"/>
          <w:sz w:val="22"/>
          <w:szCs w:val="22"/>
        </w:rPr>
        <w:t>,  de  Março</w:t>
      </w:r>
      <w:r w:rsidR="00C84349">
        <w:rPr>
          <w:rFonts w:ascii="Arial" w:hAnsi="Arial" w:cs="Arial"/>
          <w:sz w:val="22"/>
          <w:szCs w:val="22"/>
        </w:rPr>
        <w:t xml:space="preserve"> 2013</w:t>
      </w:r>
    </w:p>
    <w:p w:rsidR="00614CC5" w:rsidRPr="00405F2F" w:rsidRDefault="00614CC5" w:rsidP="00614CC5">
      <w:pPr>
        <w:jc w:val="center"/>
        <w:rPr>
          <w:rFonts w:ascii="Arial" w:hAnsi="Arial" w:cs="Arial"/>
          <w:sz w:val="22"/>
          <w:szCs w:val="22"/>
        </w:rPr>
      </w:pPr>
    </w:p>
    <w:p w:rsidR="00614CC5" w:rsidRPr="00405F2F" w:rsidRDefault="00174726" w:rsidP="00614CC5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-3175</wp:posOffset>
            </wp:positionV>
            <wp:extent cx="2343150" cy="590550"/>
            <wp:effectExtent l="19050" t="0" r="0" b="0"/>
            <wp:wrapThrough wrapText="bothSides">
              <wp:wrapPolygon edited="0">
                <wp:start x="-176" y="0"/>
                <wp:lineTo x="-176" y="20903"/>
                <wp:lineTo x="21600" y="20903"/>
                <wp:lineTo x="21600" y="0"/>
                <wp:lineTo x="-176" y="0"/>
              </wp:wrapPolygon>
            </wp:wrapThrough>
            <wp:docPr id="6" name="Imagem 6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7912100</wp:posOffset>
            </wp:positionV>
            <wp:extent cx="2343150" cy="866775"/>
            <wp:effectExtent l="19050" t="0" r="0" b="0"/>
            <wp:wrapNone/>
            <wp:docPr id="4" name="Imagem 4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CC5" w:rsidRPr="00405F2F" w:rsidRDefault="00174726" w:rsidP="00614C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7913370</wp:posOffset>
            </wp:positionV>
            <wp:extent cx="2343150" cy="866775"/>
            <wp:effectExtent l="19050" t="0" r="0" b="0"/>
            <wp:wrapNone/>
            <wp:docPr id="5" name="Imagem 5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726" w:rsidRDefault="00174726" w:rsidP="00614CC5">
      <w:pPr>
        <w:jc w:val="center"/>
        <w:rPr>
          <w:rFonts w:ascii="Arial" w:hAnsi="Arial" w:cs="Arial"/>
          <w:sz w:val="22"/>
          <w:szCs w:val="22"/>
        </w:rPr>
      </w:pPr>
    </w:p>
    <w:p w:rsidR="00174726" w:rsidRDefault="00174726" w:rsidP="00614CC5">
      <w:pPr>
        <w:jc w:val="center"/>
        <w:rPr>
          <w:rFonts w:ascii="Arial" w:hAnsi="Arial" w:cs="Arial"/>
          <w:sz w:val="22"/>
          <w:szCs w:val="22"/>
        </w:rPr>
      </w:pPr>
    </w:p>
    <w:p w:rsidR="00614CC5" w:rsidRDefault="00F863B2" w:rsidP="00614CC5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Adalgizo</w:t>
      </w:r>
      <w:proofErr w:type="spellEnd"/>
      <w:r>
        <w:rPr>
          <w:rFonts w:ascii="Arial" w:hAnsi="Arial" w:cs="Arial"/>
          <w:sz w:val="22"/>
          <w:szCs w:val="22"/>
        </w:rPr>
        <w:t xml:space="preserve"> Cândido de Souza</w:t>
      </w:r>
    </w:p>
    <w:p w:rsidR="00174726" w:rsidRPr="00405F2F" w:rsidRDefault="00174726" w:rsidP="00614CC5">
      <w:pPr>
        <w:jc w:val="center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jc w:val="center"/>
        <w:rPr>
          <w:rFonts w:ascii="Arial" w:hAnsi="Arial" w:cs="Arial"/>
          <w:b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Prefeito Municipal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14CC5" w:rsidRPr="00405F2F" w:rsidSect="00405F2F">
      <w:headerReference w:type="default" r:id="rId7"/>
      <w:pgSz w:w="11907" w:h="16839" w:code="9"/>
      <w:pgMar w:top="283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1C" w:rsidRDefault="00861C1C" w:rsidP="00614CC5">
      <w:r>
        <w:separator/>
      </w:r>
    </w:p>
  </w:endnote>
  <w:endnote w:type="continuationSeparator" w:id="0">
    <w:p w:rsidR="00861C1C" w:rsidRDefault="00861C1C" w:rsidP="00614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1C" w:rsidRDefault="00861C1C" w:rsidP="00614CC5">
      <w:r>
        <w:separator/>
      </w:r>
    </w:p>
  </w:footnote>
  <w:footnote w:type="continuationSeparator" w:id="0">
    <w:p w:rsidR="00861C1C" w:rsidRDefault="00861C1C" w:rsidP="00614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26" w:rsidRPr="00DA54BE" w:rsidRDefault="00375C09" w:rsidP="00174726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2" type="#_x0000_t75" style="position:absolute;margin-left:-55.65pt;margin-top:-24.75pt;width:91.3pt;height:106.7pt;z-index:251660288">
          <v:imagedata r:id="rId1" o:title="" gain="121363f" blacklevel="1966f"/>
          <w10:wrap type="topAndBottom"/>
        </v:shape>
        <o:OLEObject Type="Embed" ProgID="MSPhotoEd.3" ShapeID="_x0000_s10242" DrawAspect="Content" ObjectID="_1425201380" r:id="rId2"/>
      </w:pict>
    </w:r>
    <w:r w:rsidR="00174726">
      <w:rPr>
        <w:rFonts w:ascii="Cooper BlkIt BT" w:hAnsi="Cooper BlkIt BT"/>
        <w:b/>
        <w:bCs/>
        <w:sz w:val="40"/>
        <w:szCs w:val="40"/>
      </w:rPr>
      <w:t xml:space="preserve">            MU</w:t>
    </w:r>
    <w:r w:rsidR="00174726" w:rsidRPr="00DA54BE">
      <w:rPr>
        <w:rFonts w:ascii="Cooper BlkIt BT" w:hAnsi="Cooper BlkIt BT"/>
        <w:b/>
        <w:bCs/>
        <w:sz w:val="40"/>
        <w:szCs w:val="40"/>
      </w:rPr>
      <w:t>NICIPIO   DE  SANTA LÚCIA</w:t>
    </w:r>
    <w:r w:rsidR="00174726">
      <w:rPr>
        <w:rFonts w:ascii="Cooper BlkIt BT" w:hAnsi="Cooper BlkIt BT"/>
        <w:b/>
        <w:bCs/>
        <w:sz w:val="40"/>
        <w:szCs w:val="40"/>
      </w:rPr>
      <w:t xml:space="preserve"> </w:t>
    </w:r>
  </w:p>
  <w:p w:rsidR="00174726" w:rsidRPr="00DA54BE" w:rsidRDefault="00174726" w:rsidP="00174726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ESTA</w:t>
    </w:r>
    <w:r>
      <w:rPr>
        <w:rFonts w:ascii="Arial" w:hAnsi="Arial"/>
        <w:b/>
        <w:i/>
      </w:rPr>
      <w:t xml:space="preserve">DO  DO  PARANÁ          </w:t>
    </w:r>
    <w:r w:rsidRPr="00DA54BE">
      <w:rPr>
        <w:rFonts w:ascii="Arial" w:hAnsi="Arial"/>
        <w:b/>
        <w:i/>
      </w:rPr>
      <w:t xml:space="preserve"> CNPJ  95.594.776/0001-93</w:t>
    </w:r>
  </w:p>
  <w:p w:rsidR="00174726" w:rsidRDefault="00174726" w:rsidP="00174726">
    <w:pPr>
      <w:pStyle w:val="Cabealho"/>
    </w:pPr>
  </w:p>
  <w:p w:rsidR="00174726" w:rsidRDefault="00174726" w:rsidP="00174726">
    <w:pPr>
      <w:pStyle w:val="Cabealho"/>
    </w:pPr>
  </w:p>
  <w:p w:rsidR="00174726" w:rsidRDefault="001747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614CC5"/>
    <w:rsid w:val="00174726"/>
    <w:rsid w:val="001C23DD"/>
    <w:rsid w:val="002B657C"/>
    <w:rsid w:val="002C7172"/>
    <w:rsid w:val="00375C09"/>
    <w:rsid w:val="003B69A0"/>
    <w:rsid w:val="003C16AD"/>
    <w:rsid w:val="003D22D2"/>
    <w:rsid w:val="00405F2F"/>
    <w:rsid w:val="004F5F3D"/>
    <w:rsid w:val="005C1C06"/>
    <w:rsid w:val="00613F60"/>
    <w:rsid w:val="00614CC5"/>
    <w:rsid w:val="00650028"/>
    <w:rsid w:val="00795C02"/>
    <w:rsid w:val="007975F3"/>
    <w:rsid w:val="007B22C6"/>
    <w:rsid w:val="0080391B"/>
    <w:rsid w:val="00833F2E"/>
    <w:rsid w:val="0084724F"/>
    <w:rsid w:val="00861C1C"/>
    <w:rsid w:val="009732E9"/>
    <w:rsid w:val="0098018D"/>
    <w:rsid w:val="00987265"/>
    <w:rsid w:val="009B5549"/>
    <w:rsid w:val="00A11D41"/>
    <w:rsid w:val="00A71087"/>
    <w:rsid w:val="00A92F4E"/>
    <w:rsid w:val="00B04D4C"/>
    <w:rsid w:val="00C10145"/>
    <w:rsid w:val="00C31ED3"/>
    <w:rsid w:val="00C53B9B"/>
    <w:rsid w:val="00C84349"/>
    <w:rsid w:val="00D76C1C"/>
    <w:rsid w:val="00DC13FF"/>
    <w:rsid w:val="00F47617"/>
    <w:rsid w:val="00F863B2"/>
    <w:rsid w:val="00FE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4C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14C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14CC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14C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C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CC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14C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14C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76C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6C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rose</cp:lastModifiedBy>
  <cp:revision>4</cp:revision>
  <cp:lastPrinted>2013-03-19T15:22:00Z</cp:lastPrinted>
  <dcterms:created xsi:type="dcterms:W3CDTF">2013-03-19T15:22:00Z</dcterms:created>
  <dcterms:modified xsi:type="dcterms:W3CDTF">2013-03-19T15:30:00Z</dcterms:modified>
</cp:coreProperties>
</file>